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年度呼伦贝尔市职工文体活动中心（呼伦贝尔市工人文化宫）</w:t>
      </w:r>
    </w:p>
    <w:p>
      <w:pPr>
        <w:spacing w:line="360" w:lineRule="auto"/>
        <w:jc w:val="center"/>
        <w:rPr>
          <w:rFonts w:ascii="宋体" w:hAnsi="宋体"/>
          <w:b/>
          <w:bCs/>
          <w:sz w:val="52"/>
          <w:szCs w:val="52"/>
        </w:rPr>
      </w:pPr>
      <w:r>
        <w:rPr>
          <w:rFonts w:hint="eastAsia" w:ascii="宋体" w:hAnsi="宋体"/>
          <w:b/>
          <w:bCs/>
          <w:sz w:val="52"/>
          <w:szCs w:val="52"/>
        </w:rPr>
        <w:t>公开报告</w:t>
      </w: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pPr>
        <w:pStyle w:val="31"/>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pPr>
        <w:pStyle w:val="31"/>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部门概况</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二、部门机构设置及决算单位构成情况</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年度部门主要工作完成情况</w:t>
      </w:r>
    </w:p>
    <w:p>
      <w:pPr>
        <w:pStyle w:val="31"/>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pPr>
        <w:pStyle w:val="31"/>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pPr>
        <w:pStyle w:val="31"/>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pPr>
        <w:pStyle w:val="31"/>
        <w:widowControl/>
        <w:spacing w:before="240" w:after="240" w:line="360" w:lineRule="auto"/>
        <w:jc w:val="left"/>
        <w:rPr>
          <w:rFonts w:ascii="FangSong_GB2312" w:hAnsi="FangSong_GB2312" w:eastAsia="FangSong_GB2312" w:cs="FangSong_GB2312"/>
          <w:kern w:val="0"/>
          <w:sz w:val="32"/>
          <w:szCs w:val="32"/>
        </w:rPr>
      </w:pPr>
      <w:bookmarkStart w:id="1" w:name="_GoBack"/>
      <w:bookmarkEnd w:id="1"/>
      <w:r>
        <w:rPr>
          <w:rFonts w:ascii="FangSong_GB2312" w:hAnsi="FangSong_GB2312" w:eastAsia="FangSong_GB2312" w:cs="FangSong_GB2312"/>
          <w:kern w:val="0"/>
          <w:sz w:val="32"/>
          <w:szCs w:val="32"/>
        </w:rPr>
        <w:t>十一、机关运行经费支出、国有资产占用情况及政府采购支出信息表</w:t>
      </w: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FangSong_GB2312" w:hAnsi="FangSong_GB2312" w:eastAsia="FangSong_GB2312" w:cs="FangSong_GB2312"/>
          <w:kern w:val="0"/>
          <w:sz w:val="32"/>
          <w:szCs w:val="32"/>
        </w:rPr>
      </w:pPr>
    </w:p>
    <w:p>
      <w:pPr>
        <w:pStyle w:val="31"/>
        <w:widowControl/>
        <w:spacing w:before="240" w:after="240" w:line="360" w:lineRule="auto"/>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部门（单位）概况</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pPr>
        <w:spacing w:line="600" w:lineRule="exact"/>
        <w:ind w:firstLine="640" w:firstLineChars="200"/>
        <w:rPr>
          <w:rFonts w:eastAsia="仿宋_GB2312" w:cs="Arial"/>
          <w:sz w:val="32"/>
          <w:szCs w:val="32"/>
        </w:rPr>
      </w:pPr>
      <w:r>
        <w:rPr>
          <w:rFonts w:hint="eastAsia" w:eastAsia="仿宋_GB2312" w:cs="Arial"/>
          <w:sz w:val="32"/>
          <w:szCs w:val="32"/>
        </w:rPr>
        <w:t>1.为全市职工提供服务。</w:t>
      </w:r>
    </w:p>
    <w:p>
      <w:pPr>
        <w:spacing w:line="600" w:lineRule="exact"/>
        <w:ind w:firstLine="640" w:firstLineChars="200"/>
        <w:rPr>
          <w:rFonts w:eastAsia="仿宋_GB2312" w:cs="Arial"/>
          <w:sz w:val="32"/>
          <w:szCs w:val="32"/>
        </w:rPr>
      </w:pPr>
      <w:r>
        <w:rPr>
          <w:rFonts w:hint="eastAsia" w:eastAsia="仿宋_GB2312" w:cs="Arial"/>
          <w:sz w:val="32"/>
          <w:szCs w:val="32"/>
        </w:rPr>
        <w:t>2.全市职工思想政治引领职工文化法律法规、规章和方针。</w:t>
      </w:r>
    </w:p>
    <w:p>
      <w:pPr>
        <w:spacing w:line="600" w:lineRule="exact"/>
        <w:ind w:firstLine="640" w:firstLineChars="200"/>
        <w:rPr>
          <w:rFonts w:eastAsia="仿宋_GB2312" w:cs="Arial"/>
          <w:sz w:val="32"/>
          <w:szCs w:val="32"/>
        </w:rPr>
      </w:pPr>
      <w:r>
        <w:rPr>
          <w:rFonts w:hint="eastAsia" w:eastAsia="仿宋_GB2312" w:cs="Arial"/>
          <w:sz w:val="32"/>
          <w:szCs w:val="32"/>
        </w:rPr>
        <w:t>3.政策执行职工工作计划制定和组织实施。</w:t>
      </w:r>
    </w:p>
    <w:p>
      <w:pPr>
        <w:spacing w:line="600" w:lineRule="exact"/>
        <w:ind w:firstLine="640" w:firstLineChars="200"/>
        <w:rPr>
          <w:rFonts w:eastAsia="仿宋_GB2312" w:cs="Arial"/>
          <w:sz w:val="32"/>
          <w:szCs w:val="32"/>
        </w:rPr>
      </w:pPr>
      <w:r>
        <w:rPr>
          <w:rFonts w:hint="eastAsia" w:eastAsia="仿宋_GB2312" w:cs="Arial"/>
          <w:sz w:val="32"/>
          <w:szCs w:val="32"/>
        </w:rPr>
        <w:t>4.职工文体活动组织开展。</w:t>
      </w:r>
    </w:p>
    <w:p>
      <w:pPr>
        <w:spacing w:line="600" w:lineRule="exact"/>
        <w:ind w:firstLine="640" w:firstLineChars="200"/>
        <w:rPr>
          <w:rFonts w:eastAsia="仿宋_GB2312" w:cs="Arial"/>
          <w:sz w:val="32"/>
          <w:szCs w:val="32"/>
        </w:rPr>
      </w:pPr>
      <w:r>
        <w:rPr>
          <w:rFonts w:hint="eastAsia" w:eastAsia="仿宋_GB2312" w:cs="Arial"/>
          <w:sz w:val="32"/>
          <w:szCs w:val="32"/>
        </w:rPr>
        <w:t>5.职工活动场所提供。</w:t>
      </w:r>
    </w:p>
    <w:p>
      <w:pPr>
        <w:spacing w:line="600" w:lineRule="exact"/>
        <w:ind w:firstLine="640" w:firstLineChars="200"/>
        <w:rPr>
          <w:rFonts w:eastAsia="仿宋_GB2312" w:cs="Arial"/>
          <w:sz w:val="32"/>
          <w:szCs w:val="32"/>
        </w:rPr>
      </w:pPr>
      <w:r>
        <w:rPr>
          <w:rFonts w:hint="eastAsia" w:eastAsia="仿宋_GB2312" w:cs="Arial"/>
          <w:sz w:val="32"/>
          <w:szCs w:val="32"/>
        </w:rPr>
        <w:t>6.职工活动场所和设施管理、维护。</w:t>
      </w:r>
    </w:p>
    <w:p>
      <w:pPr>
        <w:spacing w:line="600" w:lineRule="exact"/>
        <w:ind w:firstLine="640" w:firstLineChars="200"/>
        <w:rPr>
          <w:rFonts w:hint="eastAsia" w:eastAsia="仿宋_GB2312" w:cs="Arial"/>
          <w:sz w:val="32"/>
          <w:szCs w:val="32"/>
        </w:rPr>
      </w:pPr>
      <w:r>
        <w:rPr>
          <w:rFonts w:hint="eastAsia" w:eastAsia="仿宋_GB2312" w:cs="Arial"/>
          <w:sz w:val="32"/>
          <w:szCs w:val="32"/>
        </w:rPr>
        <w:t>7.基层工会文体活动指导。</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二、部门机构设置及决算单位构成情况</w:t>
      </w:r>
    </w:p>
    <w:p>
      <w:pPr>
        <w:pStyle w:val="31"/>
        <w:widowControl/>
        <w:spacing w:before="240" w:after="240" w:line="60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根据部门职责分工，本部门内设机构包括</w:t>
      </w:r>
      <w:r>
        <w:rPr>
          <w:rFonts w:hint="eastAsia" w:eastAsia="仿宋_GB2312" w:cs="Arial"/>
          <w:sz w:val="32"/>
          <w:szCs w:val="32"/>
        </w:rPr>
        <w:t>呼伦贝尔市职工文体活动中心（呼伦贝尔市工人文化宫）。</w:t>
      </w:r>
      <w:r>
        <w:rPr>
          <w:rFonts w:hint="eastAsia" w:eastAsia="仿宋_GB2312" w:cs="Arial"/>
          <w:bCs/>
          <w:sz w:val="32"/>
          <w:szCs w:val="32"/>
        </w:rPr>
        <w:t>本部门无下属单位。</w:t>
      </w:r>
    </w:p>
    <w:p>
      <w:pPr>
        <w:pStyle w:val="31"/>
        <w:widowControl/>
        <w:spacing w:before="240" w:after="240" w:line="60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从决算单位构成看，纳入本部门决算编制范围的预算单位共计</w:t>
      </w:r>
      <w:r>
        <w:rPr>
          <w:rFonts w:hint="eastAsia"/>
          <w:kern w:val="0"/>
          <w:sz w:val="32"/>
          <w:szCs w:val="32"/>
          <w:u w:val="single"/>
          <w:lang w:val="en-US" w:eastAsia="zh-CN"/>
        </w:rPr>
        <w:t>1</w:t>
      </w:r>
      <w:r>
        <w:rPr>
          <w:rFonts w:ascii="FangSong_GB2312" w:hAnsi="FangSong_GB2312" w:eastAsia="FangSong_GB2312" w:cs="FangSong_GB2312"/>
          <w:kern w:val="0"/>
          <w:sz w:val="32"/>
          <w:szCs w:val="32"/>
        </w:rPr>
        <w:t>家，具体包括：</w:t>
      </w:r>
      <w:r>
        <w:rPr>
          <w:rFonts w:hint="eastAsia" w:eastAsia="仿宋_GB2312" w:cs="Arial"/>
          <w:sz w:val="32"/>
          <w:szCs w:val="32"/>
        </w:rPr>
        <w:t>呼伦贝尔市职工文体活动中心（呼伦贝尔市工人文化宫）部门本级</w:t>
      </w:r>
      <w:r>
        <w:rPr>
          <w:rFonts w:ascii="FangSong_GB2312" w:hAnsi="FangSong_GB2312" w:eastAsia="FangSong_GB2312" w:cs="FangSong_GB2312"/>
          <w:kern w:val="0"/>
          <w:sz w:val="32"/>
          <w:szCs w:val="32"/>
        </w:rPr>
        <w:t>。详细情况见表：</w:t>
      </w:r>
    </w:p>
    <w:tbl>
      <w:tblPr>
        <w:tblStyle w:val="21"/>
        <w:tblW w:w="7080" w:type="dxa"/>
        <w:jc w:val="center"/>
        <w:tblLayout w:type="fixed"/>
        <w:tblCellMar>
          <w:top w:w="15" w:type="dxa"/>
          <w:left w:w="15" w:type="dxa"/>
          <w:bottom w:w="15" w:type="dxa"/>
          <w:right w:w="15" w:type="dxa"/>
        </w:tblCellMar>
      </w:tblPr>
      <w:tblGrid>
        <w:gridCol w:w="583"/>
        <w:gridCol w:w="4485"/>
        <w:gridCol w:w="2012"/>
      </w:tblGrid>
      <w:tr>
        <w:tblPrEx>
          <w:tblCellMar>
            <w:top w:w="15" w:type="dxa"/>
            <w:left w:w="15" w:type="dxa"/>
            <w:bottom w:w="15" w:type="dxa"/>
            <w:right w:w="15" w:type="dxa"/>
          </w:tblCellMar>
        </w:tblPrEx>
        <w:trPr>
          <w:trHeight w:val="459" w:hRule="atLeast"/>
          <w:tblHeader/>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序号</w:t>
            </w:r>
          </w:p>
        </w:tc>
        <w:tc>
          <w:tcPr>
            <w:tcW w:w="448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单位名称</w:t>
            </w:r>
          </w:p>
        </w:tc>
        <w:tc>
          <w:tcPr>
            <w:tcW w:w="2012"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单位性质</w:t>
            </w:r>
          </w:p>
        </w:tc>
      </w:tr>
      <w:tr>
        <w:tblPrEx>
          <w:tblCellMar>
            <w:top w:w="15" w:type="dxa"/>
            <w:left w:w="15" w:type="dxa"/>
            <w:bottom w:w="15" w:type="dxa"/>
            <w:right w:w="15" w:type="dxa"/>
          </w:tblCellMar>
        </w:tblPrEx>
        <w:trPr>
          <w:trHeight w:val="369" w:hRule="atLeast"/>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center"/>
              <w:rPr>
                <w:rFonts w:hint="eastAsia" w:ascii="Times New Roman" w:hAnsi="Times New Roman" w:eastAsia="宋体" w:cs="Times New Roman"/>
                <w:b w:val="0"/>
                <w:bCs w:val="0"/>
                <w:i w:val="0"/>
                <w:iCs w:val="0"/>
                <w:smallCaps w:val="0"/>
                <w:color w:val="000000"/>
                <w:kern w:val="0"/>
                <w:sz w:val="24"/>
                <w:lang w:val="en-US" w:eastAsia="zh-CN"/>
              </w:rPr>
            </w:pPr>
            <w:r>
              <w:rPr>
                <w:rFonts w:hint="eastAsia" w:cs="Times New Roman"/>
                <w:b w:val="0"/>
                <w:bCs w:val="0"/>
                <w:i w:val="0"/>
                <w:iCs w:val="0"/>
                <w:smallCaps w:val="0"/>
                <w:color w:val="000000"/>
                <w:kern w:val="0"/>
                <w:sz w:val="24"/>
                <w:lang w:val="en-US" w:eastAsia="zh-CN"/>
              </w:rPr>
              <w:t>1</w:t>
            </w:r>
          </w:p>
        </w:tc>
        <w:tc>
          <w:tcPr>
            <w:tcW w:w="448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left"/>
              <w:rPr>
                <w:rFonts w:ascii="Times New Roman" w:hAnsi="Times New Roman" w:eastAsia="Times New Roman" w:cs="Times New Roman"/>
                <w:b w:val="0"/>
                <w:bCs w:val="0"/>
                <w:i w:val="0"/>
                <w:iCs w:val="0"/>
                <w:smallCaps w:val="0"/>
                <w:color w:val="000000"/>
                <w:kern w:val="0"/>
                <w:sz w:val="24"/>
              </w:rPr>
            </w:pPr>
            <w:r>
              <w:rPr>
                <w:rFonts w:hint="eastAsia" w:eastAsia="仿宋_GB2312" w:cs="Arial"/>
                <w:sz w:val="32"/>
                <w:szCs w:val="32"/>
              </w:rPr>
              <w:t>呼伦贝尔市职工文体活动中心（呼伦贝尔市工人文化宫）</w:t>
            </w:r>
          </w:p>
        </w:tc>
        <w:tc>
          <w:tcPr>
            <w:tcW w:w="2012"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left"/>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公益二类事业单位</w:t>
            </w:r>
          </w:p>
        </w:tc>
      </w:tr>
    </w:tbl>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年度部门（单位）主要工作完成情况</w:t>
      </w:r>
    </w:p>
    <w:p>
      <w:pPr>
        <w:pStyle w:val="20"/>
        <w:widowControl/>
        <w:spacing w:before="0" w:beforeAutospacing="0" w:after="0" w:afterAutospacing="0" w:line="600" w:lineRule="exact"/>
        <w:ind w:firstLine="640" w:firstLineChars="200"/>
        <w:jc w:val="both"/>
        <w:rPr>
          <w:rFonts w:eastAsia="仿宋_GB2312" w:cs="Arial"/>
          <w:kern w:val="2"/>
          <w:sz w:val="32"/>
          <w:szCs w:val="32"/>
        </w:rPr>
      </w:pPr>
      <w:r>
        <w:rPr>
          <w:rFonts w:hint="eastAsia" w:eastAsia="仿宋_GB2312" w:cs="Arial"/>
          <w:kern w:val="2"/>
          <w:sz w:val="32"/>
          <w:szCs w:val="32"/>
        </w:rPr>
        <w:t>1.定期开展各类文体活动，丰富职工业余生活。</w:t>
      </w:r>
    </w:p>
    <w:p>
      <w:pPr>
        <w:pStyle w:val="20"/>
        <w:widowControl/>
        <w:spacing w:before="0" w:beforeAutospacing="0" w:after="0" w:afterAutospacing="0" w:line="600" w:lineRule="exact"/>
        <w:ind w:firstLine="640" w:firstLineChars="200"/>
        <w:jc w:val="both"/>
        <w:rPr>
          <w:rFonts w:eastAsia="仿宋_GB2312" w:cs="Arial"/>
          <w:kern w:val="2"/>
          <w:sz w:val="32"/>
          <w:szCs w:val="32"/>
        </w:rPr>
      </w:pPr>
      <w:r>
        <w:rPr>
          <w:rFonts w:hint="eastAsia" w:eastAsia="仿宋_GB2312" w:cs="Arial"/>
          <w:kern w:val="2"/>
          <w:sz w:val="32"/>
          <w:szCs w:val="32"/>
        </w:rPr>
        <w:t>2.根据职工的需求和兴趣，策划具有特色的主题活动。</w:t>
      </w:r>
    </w:p>
    <w:p>
      <w:pPr>
        <w:spacing w:line="600" w:lineRule="exact"/>
        <w:ind w:firstLine="640" w:firstLineChars="200"/>
        <w:rPr>
          <w:rFonts w:hint="eastAsia" w:eastAsia="仿宋_GB2312" w:cs="Arial"/>
          <w:sz w:val="32"/>
          <w:szCs w:val="32"/>
        </w:rPr>
      </w:pPr>
      <w:r>
        <w:rPr>
          <w:rFonts w:hint="eastAsia" w:eastAsia="仿宋_GB2312" w:cs="Arial"/>
          <w:sz w:val="32"/>
          <w:szCs w:val="32"/>
        </w:rPr>
        <w:t>3.开展职工文体活动培训，提高职工的技能水平。</w:t>
      </w:r>
    </w:p>
    <w:p>
      <w:pPr>
        <w:spacing w:line="600" w:lineRule="exact"/>
        <w:ind w:firstLine="640" w:firstLineChars="200"/>
        <w:rPr>
          <w:rFonts w:hint="eastAsia" w:eastAsia="仿宋_GB2312" w:cs="Arial"/>
          <w:sz w:val="32"/>
          <w:szCs w:val="32"/>
        </w:rPr>
      </w:pPr>
      <w:r>
        <w:rPr>
          <w:rFonts w:hint="eastAsia" w:eastAsia="仿宋_GB2312" w:cs="Arial"/>
          <w:sz w:val="32"/>
          <w:szCs w:val="32"/>
        </w:rPr>
        <w:t>4.与企事业单位合作，共同举办职工文体交流活动，扩大文体活动中心的影响力。</w:t>
      </w:r>
    </w:p>
    <w:p>
      <w:pPr>
        <w:spacing w:line="600" w:lineRule="exact"/>
        <w:ind w:firstLine="640" w:firstLineChars="200"/>
        <w:rPr>
          <w:rFonts w:hint="eastAsia" w:eastAsia="仿宋_GB2312" w:cs="Arial"/>
          <w:sz w:val="32"/>
          <w:szCs w:val="32"/>
        </w:rPr>
      </w:pPr>
      <w:r>
        <w:rPr>
          <w:rFonts w:hint="eastAsia" w:eastAsia="仿宋_GB2312" w:cs="Arial"/>
          <w:sz w:val="32"/>
          <w:szCs w:val="32"/>
        </w:rPr>
        <w:t>5.通过微信公众号、媒体等渠道，扩大职工文体活动中心的知名度和影响力。</w:t>
      </w:r>
    </w:p>
    <w:p>
      <w:pPr>
        <w:spacing w:line="600" w:lineRule="exact"/>
        <w:ind w:firstLine="640" w:firstLineChars="200"/>
        <w:rPr>
          <w:rFonts w:hint="eastAsia" w:eastAsia="仿宋_GB2312" w:cs="Arial"/>
          <w:sz w:val="32"/>
          <w:szCs w:val="32"/>
        </w:rPr>
      </w:pPr>
      <w:r>
        <w:rPr>
          <w:rFonts w:hint="eastAsia" w:eastAsia="仿宋_GB2312" w:cs="Arial"/>
          <w:sz w:val="32"/>
          <w:szCs w:val="32"/>
        </w:rPr>
        <w:t>6.加强资金管理，确保资金的合理使用和有效投入。</w:t>
      </w:r>
    </w:p>
    <w:p>
      <w:pPr>
        <w:spacing w:line="600" w:lineRule="exact"/>
        <w:ind w:firstLine="640" w:firstLineChars="200"/>
        <w:rPr>
          <w:rFonts w:hint="eastAsia" w:eastAsia="仿宋_GB2312" w:cs="Arial"/>
          <w:sz w:val="32"/>
          <w:szCs w:val="32"/>
        </w:rPr>
      </w:pPr>
      <w:r>
        <w:rPr>
          <w:rFonts w:hint="eastAsia" w:eastAsia="仿宋_GB2312" w:cs="Arial"/>
          <w:sz w:val="32"/>
          <w:szCs w:val="32"/>
        </w:rPr>
        <w:t>7.加强与各部室的沟通协调，确保工作的顺利进行。</w:t>
      </w: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第二部分</w:t>
      </w:r>
      <w:r>
        <w:rPr>
          <w:rFonts w:ascii="Times New Roman" w:hAnsi="Times New Roman" w:eastAsia="Times New Roman" w:cs="Times New Roman"/>
          <w:b w:val="0"/>
          <w:bCs w:val="0"/>
          <w:kern w:val="0"/>
          <w:sz w:val="36"/>
          <w:szCs w:val="36"/>
        </w:rPr>
        <w:t> </w:t>
      </w:r>
      <w:r>
        <w:rPr>
          <w:rFonts w:ascii="方正小标宋简体" w:hAnsi="方正小标宋简体" w:eastAsia="方正小标宋简体" w:cs="方正小标宋简体"/>
          <w:b w:val="0"/>
          <w:bCs w:val="0"/>
          <w:kern w:val="0"/>
          <w:sz w:val="36"/>
          <w:szCs w:val="36"/>
        </w:rPr>
        <w:t xml:space="preserve"> 部门（单位）决算情况说明</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呼伦贝尔市职工文体活动中心（呼伦贝尔市工人文化宫）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420.81</w:t>
      </w:r>
      <w:r>
        <w:rPr>
          <w:rFonts w:ascii="FangSong_GB2312" w:hAnsi="FangSong_GB2312" w:eastAsia="FangSong_GB2312" w:cs="FangSong_GB2312"/>
          <w:kern w:val="0"/>
          <w:sz w:val="32"/>
          <w:szCs w:val="32"/>
        </w:rPr>
        <w:t>万元。与年初预算相比，收、支总计各减少</w:t>
      </w:r>
      <w:r>
        <w:rPr>
          <w:rFonts w:eastAsia="Times New Roman"/>
          <w:kern w:val="0"/>
          <w:sz w:val="32"/>
          <w:szCs w:val="32"/>
          <w:u w:val="single"/>
          <w:lang w:eastAsia="en-US"/>
        </w:rPr>
        <w:t xml:space="preserve"> 4.83</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1.13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本年新考录人员1人，工资福利支出增加、年初预算物业管理费100万元，实际支出61.47万元</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288.53</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218.11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420.81</w:t>
      </w:r>
      <w:r>
        <w:rPr>
          <w:rFonts w:ascii="楷体" w:hAnsi="楷体" w:eastAsia="楷体" w:cs="楷体"/>
          <w:b/>
          <w:bCs/>
          <w:kern w:val="0"/>
          <w:sz w:val="32"/>
          <w:szCs w:val="32"/>
        </w:rPr>
        <w:t>万元。包括：</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391.58</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259.29</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196.01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本年新考录人员1人，工资福利支出增加；本年新申请物业费61.47万元，取暖费25.23万元；工会拨款较去年增加134.</w:t>
      </w:r>
      <w:r>
        <w:rPr>
          <w:rFonts w:hint="default" w:ascii="FangSong_GB2312" w:hAnsi="FangSong_GB2312" w:eastAsia="FangSong_GB2312" w:cs="FangSong_GB2312"/>
          <w:kern w:val="0"/>
          <w:sz w:val="32"/>
          <w:szCs w:val="32"/>
          <w:lang w:val="en-US" w:eastAsia="zh-CN"/>
        </w:rPr>
        <w:t>53</w:t>
      </w:r>
      <w:r>
        <w:rPr>
          <w:rFonts w:hint="eastAsia" w:ascii="FangSong_GB2312" w:hAnsi="FangSong_GB2312" w:eastAsia="FangSong_GB2312" w:cs="FangSong_GB2312"/>
          <w:kern w:val="0"/>
          <w:sz w:val="32"/>
          <w:szCs w:val="32"/>
          <w:lang w:val="en-US" w:eastAsia="zh-CN"/>
        </w:rPr>
        <w:t>万元用于采购场馆设备等</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，变动原因：不存在此项内容。</w:t>
      </w:r>
    </w:p>
    <w:p>
      <w:pPr>
        <w:pStyle w:val="31"/>
        <w:widowControl/>
        <w:spacing w:before="240" w:after="240" w:line="560" w:lineRule="atLeast"/>
        <w:ind w:firstLine="640"/>
        <w:jc w:val="left"/>
        <w:rPr>
          <w:rFonts w:ascii="Times New Roman" w:hAnsi="Times New Roman" w:eastAsia="Times New Roman" w:cs="Times New Roman"/>
          <w:kern w:val="0"/>
          <w:sz w:val="24"/>
          <w:highlight w:val="none"/>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29.23</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29.23</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highlight w:val="none"/>
          <w:lang w:val="en-US" w:eastAsia="zh-CN"/>
        </w:rPr>
        <w:t>上级主管部门市总工会拨款</w:t>
      </w:r>
      <w:r>
        <w:rPr>
          <w:rFonts w:ascii="FangSong_GB2312" w:hAnsi="FangSong_GB2312" w:eastAsia="FangSong_GB2312" w:cs="FangSong_GB2312"/>
          <w:kern w:val="0"/>
          <w:sz w:val="32"/>
          <w:szCs w:val="32"/>
          <w:highlight w:val="none"/>
        </w:rPr>
        <w:t>。</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420.81</w:t>
      </w:r>
      <w:r>
        <w:rPr>
          <w:rFonts w:ascii="楷体" w:hAnsi="楷体" w:eastAsia="楷体" w:cs="楷体"/>
          <w:b/>
          <w:bCs/>
          <w:kern w:val="0"/>
          <w:sz w:val="32"/>
          <w:szCs w:val="32"/>
        </w:rPr>
        <w:t>万元。包括：</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393.02</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349.29</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798.77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本年新考录人员1人，工资福利支出增加；本年新增加物业费61.47万元，取暖费25.23万元；工会拨款支出255.45万元用于采购场馆设备等</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结余分配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en-US"/>
        </w:rPr>
        <w:t>不存在此项内容</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27.79</w:t>
      </w:r>
      <w:r>
        <w:rPr>
          <w:rFonts w:ascii="FangSong_GB2312" w:hAnsi="FangSong_GB2312" w:eastAsia="FangSong_GB2312" w:cs="FangSong_GB2312"/>
          <w:kern w:val="0"/>
          <w:sz w:val="32"/>
          <w:szCs w:val="32"/>
        </w:rPr>
        <w:t>万元。结转和结余事项：</w:t>
      </w:r>
      <w:r>
        <w:rPr>
          <w:rFonts w:hint="eastAsia" w:ascii="FangSong_GB2312" w:hAnsi="FangSong_GB2312" w:eastAsia="FangSong_GB2312" w:cs="FangSong_GB2312"/>
          <w:kern w:val="0"/>
          <w:sz w:val="32"/>
          <w:szCs w:val="32"/>
          <w:lang w:val="en-US" w:eastAsia="zh-CN"/>
        </w:rPr>
        <w:t>上级主管部门市总工会拨款</w:t>
      </w:r>
      <w:r>
        <w:rPr>
          <w:rFonts w:ascii="FangSong_GB2312" w:hAnsi="FangSong_GB2312" w:eastAsia="FangSong_GB2312" w:cs="FangSong_GB2312"/>
          <w:kern w:val="0"/>
          <w:sz w:val="32"/>
          <w:szCs w:val="32"/>
        </w:rPr>
        <w:t>。与上年决算相比，减少</w:t>
      </w:r>
      <w:r>
        <w:rPr>
          <w:rFonts w:eastAsia="Times New Roman"/>
          <w:kern w:val="0"/>
          <w:sz w:val="32"/>
          <w:szCs w:val="32"/>
          <w:u w:val="single"/>
        </w:rPr>
        <w:t xml:space="preserve"> 60.76</w:t>
      </w:r>
      <w:r>
        <w:rPr>
          <w:rFonts w:ascii="FangSong_GB2312" w:hAnsi="FangSong_GB2312" w:eastAsia="FangSong_GB2312" w:cs="FangSong_GB2312"/>
          <w:kern w:val="0"/>
          <w:sz w:val="32"/>
          <w:szCs w:val="32"/>
        </w:rPr>
        <w:t>万元，下降</w:t>
      </w:r>
      <w:r>
        <w:rPr>
          <w:rFonts w:eastAsia="Times New Roman"/>
          <w:kern w:val="0"/>
          <w:sz w:val="32"/>
          <w:szCs w:val="32"/>
          <w:u w:val="single"/>
        </w:rPr>
        <w:t xml:space="preserve"> 68.62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补记预算会计部分</w:t>
      </w:r>
      <w:r>
        <w:rPr>
          <w:rFonts w:ascii="FangSong_GB2312" w:hAnsi="FangSong_GB2312" w:eastAsia="FangSong_GB2312" w:cs="FangSong_GB2312"/>
          <w:kern w:val="0"/>
          <w:sz w:val="32"/>
          <w:szCs w:val="32"/>
          <w:lang w:val="en-US" w:eastAsia="zh-CN"/>
        </w:rPr>
        <w:t>2024年利息收入</w:t>
      </w:r>
      <w:r>
        <w:rPr>
          <w:rFonts w:hint="eastAsia" w:ascii="FangSong_GB2312" w:hAnsi="FangSong_GB2312" w:eastAsia="FangSong_GB2312" w:cs="FangSong_GB2312"/>
          <w:kern w:val="0"/>
          <w:sz w:val="32"/>
          <w:szCs w:val="32"/>
          <w:lang w:val="en-US" w:eastAsia="zh-CN"/>
        </w:rPr>
        <w:t>0.02万</w:t>
      </w:r>
      <w:r>
        <w:rPr>
          <w:rFonts w:ascii="FangSong_GB2312" w:hAnsi="FangSong_GB2312" w:eastAsia="FangSong_GB2312" w:cs="FangSong_GB2312"/>
          <w:kern w:val="0"/>
          <w:sz w:val="32"/>
          <w:szCs w:val="32"/>
          <w:lang w:val="en-US" w:eastAsia="zh-CN"/>
        </w:rPr>
        <w:t>元，取暖费、手续费等支出59</w:t>
      </w:r>
      <w:r>
        <w:rPr>
          <w:rFonts w:hint="eastAsia" w:ascii="FangSong_GB2312" w:hAnsi="FangSong_GB2312" w:eastAsia="FangSong_GB2312" w:cs="FangSong_GB2312"/>
          <w:kern w:val="0"/>
          <w:sz w:val="32"/>
          <w:szCs w:val="32"/>
          <w:lang w:val="en-US" w:eastAsia="zh-CN"/>
        </w:rPr>
        <w:t>.</w:t>
      </w:r>
      <w:r>
        <w:rPr>
          <w:rFonts w:ascii="FangSong_GB2312" w:hAnsi="FangSong_GB2312" w:eastAsia="FangSong_GB2312" w:cs="FangSong_GB2312"/>
          <w:kern w:val="0"/>
          <w:sz w:val="32"/>
          <w:szCs w:val="32"/>
          <w:lang w:val="en-US" w:eastAsia="zh-CN"/>
        </w:rPr>
        <w:t>34</w:t>
      </w:r>
      <w:r>
        <w:rPr>
          <w:rFonts w:hint="eastAsia" w:ascii="FangSong_GB2312" w:hAnsi="FangSong_GB2312" w:eastAsia="FangSong_GB2312" w:cs="FangSong_GB2312"/>
          <w:kern w:val="0"/>
          <w:sz w:val="32"/>
          <w:szCs w:val="32"/>
          <w:lang w:val="en-US" w:eastAsia="zh-CN"/>
        </w:rPr>
        <w:t>万</w:t>
      </w:r>
      <w:r>
        <w:rPr>
          <w:rFonts w:ascii="FangSong_GB2312" w:hAnsi="FangSong_GB2312" w:eastAsia="FangSong_GB2312" w:cs="FangSong_GB2312"/>
          <w:kern w:val="0"/>
          <w:sz w:val="32"/>
          <w:szCs w:val="32"/>
          <w:lang w:val="en-US" w:eastAsia="zh-CN"/>
        </w:rPr>
        <w:t>元</w:t>
      </w:r>
      <w:r>
        <w:rPr>
          <w:rFonts w:ascii="FangSong_GB2312" w:hAnsi="FangSong_GB2312" w:eastAsia="FangSong_GB2312" w:cs="FangSong_GB2312"/>
          <w:kern w:val="0"/>
          <w:sz w:val="32"/>
          <w:szCs w:val="32"/>
        </w:rPr>
        <w:t>。</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呼伦贝尔市职工文体活动中心（呼伦贝尔市工人文化宫）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391.58</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137.57</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35.13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254.01</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64.87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256530" cy="3286125"/>
            <wp:effectExtent l="0" t="0" r="1270"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56530" cy="3286125"/>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393.02</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137.57</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35.00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255.45</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65.00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386705" cy="3367405"/>
            <wp:effectExtent l="0" t="0" r="2349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386705" cy="3367405"/>
                    </a:xfrm>
                    <a:prstGeom prst="rect">
                      <a:avLst/>
                    </a:prstGeom>
                    <a:noFill/>
                    <a:ln>
                      <a:noFill/>
                    </a:ln>
                  </pic:spPr>
                </pic:pic>
              </a:graphicData>
            </a:graphic>
          </wp:inline>
        </w:drawing>
      </w:r>
      <w:r>
        <w:rPr>
          <w:rFonts w:ascii="FangSong_GB2312" w:hAnsi="FangSong_GB2312" w:eastAsia="FangSong_GB2312" w:cs="FangSong_GB2312"/>
          <w:kern w:val="0"/>
          <w:sz w:val="27"/>
          <w:szCs w:val="27"/>
        </w:rPr>
        <w:t>图2.支出决算图</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137.57</w:t>
      </w:r>
      <w:r>
        <w:rPr>
          <w:rFonts w:ascii="FangSong_GB2312" w:hAnsi="FangSong_GB2312" w:eastAsia="FangSong_GB2312" w:cs="FangSong_GB2312"/>
          <w:kern w:val="0"/>
          <w:sz w:val="32"/>
          <w:szCs w:val="32"/>
        </w:rPr>
        <w:t>万元，与年初预算相比，收、支总计各减少</w:t>
      </w:r>
      <w:r>
        <w:rPr>
          <w:rFonts w:eastAsia="Times New Roman"/>
          <w:kern w:val="0"/>
          <w:sz w:val="32"/>
          <w:szCs w:val="32"/>
          <w:u w:val="single"/>
          <w:lang w:eastAsia="en-US"/>
        </w:rPr>
        <w:t xml:space="preserve"> 4.83</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3.39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本年新考录人员1人，工资福利支出增加、年初预算物业管理费100万元，实际支出61.47万元</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124.76</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974.53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本年新考录人员1人，工资福利支出增加；本年新增加物业费61.47万元，取暖费25.23万元</w:t>
      </w:r>
      <w:r>
        <w:rPr>
          <w:rFonts w:ascii="FangSong_GB2312" w:hAnsi="FangSong_GB2312" w:eastAsia="FangSong_GB2312" w:cs="FangSong_GB2312"/>
          <w:kern w:val="0"/>
          <w:sz w:val="32"/>
          <w:szCs w:val="32"/>
        </w:rPr>
        <w:t>。</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137.57</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142.40</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96.61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（一）一般公共服务（类）</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一般公共服务（类）决算数为</w:t>
      </w:r>
      <w:r>
        <w:rPr>
          <w:rFonts w:eastAsia="Times New Roman"/>
          <w:kern w:val="0"/>
          <w:sz w:val="32"/>
          <w:szCs w:val="32"/>
          <w:u w:val="single"/>
          <w:lang w:eastAsia="en-US"/>
        </w:rPr>
        <w:t xml:space="preserve"> 125.96</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 xml:space="preserve"> 6.40</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群众团体事务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val="en-US" w:eastAsia="zh-CN"/>
        </w:rPr>
        <w:t>事业运行</w:t>
      </w:r>
      <w:r>
        <w:rPr>
          <w:rFonts w:ascii="FangSong_GB2312" w:hAnsi="FangSong_GB2312" w:eastAsia="FangSong_GB2312" w:cs="FangSong_GB2312"/>
          <w:kern w:val="0"/>
          <w:sz w:val="32"/>
          <w:szCs w:val="32"/>
        </w:rPr>
        <w:t>（项）。年初预算</w:t>
      </w:r>
      <w:r>
        <w:rPr>
          <w:rFonts w:hint="eastAsia" w:eastAsia="宋体"/>
          <w:kern w:val="0"/>
          <w:sz w:val="32"/>
          <w:szCs w:val="32"/>
          <w:u w:val="single"/>
          <w:lang w:val="en-US" w:eastAsia="zh-CN"/>
        </w:rPr>
        <w:t>132.37</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125.96</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95.16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本年新考录人员1人</w:t>
      </w:r>
      <w:r>
        <w:rPr>
          <w:rFonts w:ascii="FangSong_GB2312" w:hAnsi="FangSong_GB2312" w:eastAsia="FangSong_GB2312" w:cs="FangSong_GB2312"/>
          <w:kern w:val="0"/>
          <w:sz w:val="32"/>
          <w:szCs w:val="32"/>
        </w:rPr>
        <w:t>。</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二</w:t>
      </w:r>
      <w:r>
        <w:rPr>
          <w:rFonts w:ascii="楷体" w:hAnsi="楷体" w:eastAsia="楷体" w:cs="楷体"/>
          <w:b/>
          <w:bCs/>
          <w:kern w:val="0"/>
          <w:sz w:val="32"/>
          <w:szCs w:val="32"/>
        </w:rPr>
        <w:t>）社会保障和就业支出（类）</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社会保障和就业支出（类）决算数为</w:t>
      </w:r>
      <w:r>
        <w:rPr>
          <w:rFonts w:eastAsia="Times New Roman"/>
          <w:kern w:val="0"/>
          <w:sz w:val="32"/>
          <w:szCs w:val="32"/>
          <w:u w:val="single"/>
          <w:lang w:eastAsia="en-US"/>
        </w:rPr>
        <w:t xml:space="preserve"> 4.26</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0.62</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．行政事业单位养老支出（款）机关事业单位基本养老保险缴费支出（项）。年初预算</w:t>
      </w:r>
      <w:r>
        <w:rPr>
          <w:rFonts w:hint="eastAsia" w:eastAsia="宋体"/>
          <w:kern w:val="0"/>
          <w:sz w:val="32"/>
          <w:szCs w:val="32"/>
          <w:u w:val="single"/>
          <w:lang w:val="en-US" w:eastAsia="zh-CN"/>
        </w:rPr>
        <w:t>3.64</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4.26</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85.45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本年新考录人员1人</w:t>
      </w:r>
      <w:r>
        <w:rPr>
          <w:rFonts w:ascii="FangSong_GB2312" w:hAnsi="FangSong_GB2312" w:eastAsia="FangSong_GB2312" w:cs="FangSong_GB2312"/>
          <w:kern w:val="0"/>
          <w:sz w:val="32"/>
          <w:szCs w:val="32"/>
        </w:rPr>
        <w:t>。</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三</w:t>
      </w:r>
      <w:r>
        <w:rPr>
          <w:rFonts w:ascii="楷体" w:hAnsi="楷体" w:eastAsia="楷体" w:cs="楷体"/>
          <w:b/>
          <w:bCs/>
          <w:kern w:val="0"/>
          <w:sz w:val="32"/>
          <w:szCs w:val="32"/>
        </w:rPr>
        <w:t>）卫生健康支出（类）</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卫生健康支出（类）决算数为</w:t>
      </w:r>
      <w:r>
        <w:rPr>
          <w:rFonts w:eastAsia="Times New Roman"/>
          <w:kern w:val="0"/>
          <w:sz w:val="32"/>
          <w:szCs w:val="32"/>
          <w:u w:val="single"/>
          <w:lang w:eastAsia="en-US"/>
        </w:rPr>
        <w:t xml:space="preserve"> 3.35</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0.42</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．行政事业单位医疗（款）事业单位医疗（项）。年初预算</w:t>
      </w:r>
      <w:r>
        <w:rPr>
          <w:rFonts w:hint="eastAsia" w:eastAsia="宋体"/>
          <w:kern w:val="0"/>
          <w:sz w:val="32"/>
          <w:szCs w:val="32"/>
          <w:u w:val="single"/>
          <w:lang w:val="en-US" w:eastAsia="zh-CN"/>
        </w:rPr>
        <w:t>2.16</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2.46</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87.80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本年新考录人员1人</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rPr>
        <w:t>．行政事业单位医疗（款）公务员医疗补助（项）。年初预算</w:t>
      </w:r>
      <w:r>
        <w:rPr>
          <w:rFonts w:hint="eastAsia" w:eastAsia="宋体"/>
          <w:kern w:val="0"/>
          <w:sz w:val="32"/>
          <w:szCs w:val="32"/>
          <w:u w:val="single"/>
          <w:lang w:val="en-US" w:eastAsia="zh-CN"/>
        </w:rPr>
        <w:t>0.77</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0.89</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86.52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本年新考录人员1人</w:t>
      </w:r>
      <w:r>
        <w:rPr>
          <w:rFonts w:ascii="FangSong_GB2312" w:hAnsi="FangSong_GB2312" w:eastAsia="FangSong_GB2312" w:cs="FangSong_GB2312"/>
          <w:kern w:val="0"/>
          <w:sz w:val="32"/>
          <w:szCs w:val="32"/>
        </w:rPr>
        <w:t>。</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四</w:t>
      </w:r>
      <w:r>
        <w:rPr>
          <w:rFonts w:ascii="楷体" w:hAnsi="楷体" w:eastAsia="楷体" w:cs="楷体"/>
          <w:b/>
          <w:bCs/>
          <w:kern w:val="0"/>
          <w:sz w:val="32"/>
          <w:szCs w:val="32"/>
        </w:rPr>
        <w:t>）住房保障支出（类）</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住房保障支出（类）决算数为</w:t>
      </w:r>
      <w:r>
        <w:rPr>
          <w:rFonts w:eastAsia="Times New Roman"/>
          <w:kern w:val="0"/>
          <w:sz w:val="32"/>
          <w:szCs w:val="32"/>
          <w:u w:val="single"/>
          <w:lang w:eastAsia="en-US"/>
        </w:rPr>
        <w:t xml:space="preserve"> 3.99</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0.53</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．住房改革支出（款）住房公积金（项）。年初预算</w:t>
      </w:r>
      <w:r>
        <w:rPr>
          <w:rFonts w:hint="eastAsia" w:eastAsia="宋体"/>
          <w:kern w:val="0"/>
          <w:sz w:val="32"/>
          <w:szCs w:val="32"/>
          <w:u w:val="single"/>
          <w:lang w:val="en-US" w:eastAsia="zh-CN"/>
        </w:rPr>
        <w:t>3.46</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3.99</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86.72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本年新考录人员1人</w:t>
      </w:r>
      <w:r>
        <w:rPr>
          <w:rFonts w:ascii="FangSong_GB2312" w:hAnsi="FangSong_GB2312" w:eastAsia="FangSong_GB2312" w:cs="FangSong_GB2312"/>
          <w:kern w:val="0"/>
          <w:sz w:val="32"/>
          <w:szCs w:val="32"/>
        </w:rPr>
        <w:t>。</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137.57</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rPr>
        <w:t>（一）人员经费</w:t>
      </w:r>
      <w:r>
        <w:rPr>
          <w:rFonts w:eastAsia="Times New Roman"/>
          <w:kern w:val="0"/>
          <w:sz w:val="32"/>
          <w:szCs w:val="32"/>
          <w:u w:val="single"/>
          <w:lang w:eastAsia="en-US"/>
        </w:rPr>
        <w:t xml:space="preserve"> 47.40</w:t>
      </w:r>
      <w:r>
        <w:rPr>
          <w:rFonts w:ascii="楷体" w:hAnsi="楷体" w:eastAsia="楷体" w:cs="楷体"/>
          <w:b/>
          <w:bCs/>
          <w:kern w:val="0"/>
          <w:sz w:val="32"/>
          <w:szCs w:val="32"/>
        </w:rPr>
        <w:t>万元。</w:t>
      </w:r>
      <w:r>
        <w:rPr>
          <w:rFonts w:ascii="FangSong_GB2312" w:hAnsi="FangSong_GB2312" w:eastAsia="FangSong_GB2312" w:cs="FangSong_GB2312"/>
          <w:kern w:val="0"/>
          <w:sz w:val="32"/>
          <w:szCs w:val="32"/>
        </w:rPr>
        <w:t>主要包括：基本工资、奖金、绩效工资、机关事业单位基本养老保险缴费、职工基本医疗保险缴费、公务员医疗补助缴费、</w:t>
      </w:r>
      <w:r>
        <w:rPr>
          <w:rFonts w:hint="eastAsia" w:ascii="FangSong_GB2312" w:hAnsi="FangSong_GB2312" w:eastAsia="FangSong_GB2312" w:cs="FangSong_GB2312"/>
          <w:kern w:val="0"/>
          <w:sz w:val="32"/>
          <w:szCs w:val="32"/>
          <w:lang w:val="en-US" w:eastAsia="zh-CN"/>
        </w:rPr>
        <w:t>其他社会保障缴费、</w:t>
      </w:r>
      <w:r>
        <w:rPr>
          <w:rFonts w:ascii="FangSong_GB2312" w:hAnsi="FangSong_GB2312" w:eastAsia="FangSong_GB2312" w:cs="FangSong_GB2312"/>
          <w:kern w:val="0"/>
          <w:sz w:val="32"/>
          <w:szCs w:val="32"/>
        </w:rPr>
        <w:t>住房公积金、其他工资福利支出等。</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90.17</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主要包括：办公费、取暖费、物业管理费、差旅费、工会经费、福利费、其他商品和服务支出等。</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pPr>
        <w:pStyle w:val="31"/>
        <w:widowControl/>
        <w:spacing w:before="240" w:after="240" w:line="560" w:lineRule="atLeast"/>
        <w:ind w:firstLine="640"/>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kern w:val="0"/>
          <w:sz w:val="32"/>
          <w:szCs w:val="32"/>
        </w:rPr>
        <w:t>呼伦贝尔市职工文体活动中心（呼伦贝尔市工人文化宫）</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lang w:eastAsia="zh-CN"/>
        </w:rPr>
        <w:t>。</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年度一般公共预算财政拨款“三公”经费全年预算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万元，与预算差异原因</w:t>
      </w:r>
      <w:r>
        <w:rPr>
          <w:rFonts w:hint="eastAsia" w:ascii="FangSong_GB2312" w:hAnsi="FangSong_GB2312" w:eastAsia="FangSong_GB2312" w:cs="FangSong_GB2312"/>
          <w:kern w:val="0"/>
          <w:sz w:val="32"/>
          <w:szCs w:val="32"/>
          <w:lang w:val="en-US" w:eastAsia="zh-CN"/>
        </w:rPr>
        <w:t>不存在此项内容</w:t>
      </w:r>
      <w:r>
        <w:rPr>
          <w:rFonts w:ascii="FangSong_GB2312" w:hAnsi="FangSong_GB2312" w:eastAsia="FangSong_GB2312" w:cs="FangSong_GB2312"/>
          <w:kern w:val="0"/>
          <w:sz w:val="32"/>
          <w:szCs w:val="32"/>
        </w:rPr>
        <w:t>。</w:t>
      </w: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1</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万元，全年出国（境）团组</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个，累计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不存在此项内容</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1</w:t>
      </w:r>
      <w:r>
        <w:rPr>
          <w:rFonts w:ascii="FangSong_GB2312" w:hAnsi="FangSong_GB2312" w:eastAsia="FangSong_GB2312" w:cs="FangSong_GB2312"/>
          <w:b/>
          <w:bCs/>
          <w:kern w:val="0"/>
          <w:sz w:val="32"/>
          <w:szCs w:val="32"/>
        </w:rPr>
        <w:t>）公务用车购置支出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万元。本年度使用财政拨款购置公务用车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辆。与上年决算相比，增加</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不存在此项内容</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2</w:t>
      </w:r>
      <w:r>
        <w:rPr>
          <w:rFonts w:ascii="FangSong_GB2312" w:hAnsi="FangSong_GB2312" w:eastAsia="FangSong_GB2312" w:cs="FangSong_GB2312"/>
          <w:b/>
          <w:bCs/>
          <w:kern w:val="0"/>
          <w:sz w:val="32"/>
          <w:szCs w:val="32"/>
        </w:rPr>
        <w:t>）公务用车运行维护费支出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万元。公务用车运行维护费主要用于按规定保留的公务用车的燃料费、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维修费、过桥过路费、保险费、安全奖励费用等支出。截至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日，使用财政拨款开支的公务用车保有量为</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不存在此项内容</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3</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万元。其中：国内公务接待支出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人次；国（境）外公务接待支出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不存在此项内容</w:t>
      </w:r>
      <w:r>
        <w:rPr>
          <w:rFonts w:ascii="FangSong_GB2312" w:hAnsi="FangSong_GB2312" w:eastAsia="FangSong_GB2312" w:cs="FangSong_GB2312"/>
          <w:kern w:val="0"/>
          <w:sz w:val="32"/>
          <w:szCs w:val="32"/>
        </w:rPr>
        <w:t>。</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w:t>
      </w:r>
      <w:r>
        <w:rPr>
          <w:rFonts w:eastAsia="Times New Roman"/>
          <w:kern w:val="0"/>
          <w:sz w:val="32"/>
          <w:szCs w:val="32"/>
          <w:lang w:eastAsia="en-US"/>
        </w:rPr>
        <w:t>2025</w:t>
      </w:r>
      <w:r>
        <w:rPr>
          <w:rFonts w:ascii="FangSong_GB2312" w:hAnsi="FangSong_GB2312" w:eastAsia="FangSong_GB2312" w:cs="FangSong_GB2312"/>
          <w:kern w:val="0"/>
          <w:sz w:val="32"/>
          <w:szCs w:val="32"/>
        </w:rPr>
        <w:t>年度政府性基金预算财政拨款支出决算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，变动原因：本年无政府性基金预算财政拨款收、支、余。</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，变动原因：本年无国有资本经营预算财政拨款收、支、余。</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呼伦贝尔市职工文体活动中心（呼伦贝尔市工人文化宫）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90.17</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58.95</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188.85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本年新增加物业费61.47万元</w:t>
      </w:r>
      <w:r>
        <w:rPr>
          <w:rFonts w:ascii="FangSong_GB2312" w:hAnsi="FangSong_GB2312" w:eastAsia="FangSong_GB2312" w:cs="FangSong_GB2312"/>
          <w:kern w:val="0"/>
          <w:sz w:val="32"/>
          <w:szCs w:val="32"/>
        </w:rPr>
        <w:t>。其中，机关运行经费支出决算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万元。比上年决算相比，增加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，变动原因：我部门所属单位中无行政单位或参照公务员法管理的事业单位，无机关运行经费支出。</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w:t>
      </w:r>
      <w:r>
        <w:rPr>
          <w:rFonts w:eastAsia="Times New Roman"/>
          <w:kern w:val="0"/>
          <w:sz w:val="32"/>
          <w:szCs w:val="32"/>
          <w:lang w:eastAsia="en-US"/>
        </w:rPr>
        <w:t>2025</w:t>
      </w:r>
      <w:r>
        <w:rPr>
          <w:rFonts w:ascii="FangSong_GB2312" w:hAnsi="FangSong_GB2312" w:eastAsia="FangSong_GB2312" w:cs="FangSong_GB2312"/>
          <w:kern w:val="0"/>
          <w:sz w:val="32"/>
          <w:szCs w:val="32"/>
        </w:rPr>
        <w:t>年度政府采购支出总额</w:t>
      </w:r>
      <w:r>
        <w:rPr>
          <w:rFonts w:eastAsia="Times New Roman"/>
          <w:kern w:val="0"/>
          <w:sz w:val="32"/>
          <w:szCs w:val="32"/>
          <w:u w:val="single"/>
          <w:lang w:eastAsia="en-US"/>
        </w:rPr>
        <w:t xml:space="preserve"> 124.40</w:t>
      </w:r>
      <w:r>
        <w:rPr>
          <w:rFonts w:ascii="FangSong_GB2312" w:hAnsi="FangSong_GB2312" w:eastAsia="FangSong_GB2312" w:cs="FangSong_GB2312"/>
          <w:kern w:val="0"/>
          <w:sz w:val="32"/>
          <w:szCs w:val="32"/>
        </w:rPr>
        <w:t>万元，其中：政府采购货物支出</w:t>
      </w:r>
      <w:r>
        <w:rPr>
          <w:rFonts w:eastAsia="Times New Roman"/>
          <w:kern w:val="0"/>
          <w:sz w:val="32"/>
          <w:szCs w:val="32"/>
          <w:u w:val="single"/>
          <w:lang w:eastAsia="en-US"/>
        </w:rPr>
        <w:t xml:space="preserve"> 1.41</w:t>
      </w:r>
      <w:r>
        <w:rPr>
          <w:rFonts w:ascii="FangSong_GB2312" w:hAnsi="FangSong_GB2312" w:eastAsia="FangSong_GB2312" w:cs="FangSong_GB2312"/>
          <w:kern w:val="0"/>
          <w:sz w:val="32"/>
          <w:szCs w:val="32"/>
        </w:rPr>
        <w:t>万元、政府采购工程支出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万元、政府采购服务支出</w:t>
      </w:r>
      <w:r>
        <w:rPr>
          <w:rFonts w:eastAsia="Times New Roman"/>
          <w:kern w:val="0"/>
          <w:sz w:val="32"/>
          <w:szCs w:val="32"/>
          <w:u w:val="single"/>
          <w:lang w:eastAsia="en-US"/>
        </w:rPr>
        <w:t xml:space="preserve"> 122.99</w:t>
      </w:r>
      <w:r>
        <w:rPr>
          <w:rFonts w:ascii="FangSong_GB2312" w:hAnsi="FangSong_GB2312" w:eastAsia="FangSong_GB2312" w:cs="FangSong_GB2312"/>
          <w:kern w:val="0"/>
          <w:sz w:val="32"/>
          <w:szCs w:val="32"/>
        </w:rPr>
        <w:t>万元。政府采购授予中小企业合同金额</w:t>
      </w:r>
      <w:r>
        <w:rPr>
          <w:rFonts w:eastAsia="Times New Roman"/>
          <w:kern w:val="0"/>
          <w:sz w:val="32"/>
          <w:szCs w:val="32"/>
          <w:u w:val="single"/>
          <w:lang w:eastAsia="en-US"/>
        </w:rPr>
        <w:t xml:space="preserve"> 122.99</w:t>
      </w:r>
      <w:r>
        <w:rPr>
          <w:rFonts w:ascii="FangSong_GB2312" w:hAnsi="FangSong_GB2312" w:eastAsia="FangSong_GB2312" w:cs="FangSong_GB2312"/>
          <w:kern w:val="0"/>
          <w:sz w:val="32"/>
          <w:szCs w:val="32"/>
        </w:rPr>
        <w:t>万元，占政府采购支出总额的</w:t>
      </w:r>
      <w:r>
        <w:rPr>
          <w:rFonts w:hint="eastAsia" w:eastAsia="宋体"/>
          <w:kern w:val="0"/>
          <w:sz w:val="32"/>
          <w:szCs w:val="32"/>
          <w:u w:val="single"/>
          <w:lang w:val="en-US" w:eastAsia="zh-CN"/>
        </w:rPr>
        <w:t>98.87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，其中：授予小微企业合同金额</w:t>
      </w:r>
      <w:r>
        <w:rPr>
          <w:rFonts w:eastAsia="Times New Roman"/>
          <w:kern w:val="0"/>
          <w:sz w:val="32"/>
          <w:szCs w:val="32"/>
          <w:u w:val="single"/>
          <w:lang w:eastAsia="en-US"/>
        </w:rPr>
        <w:t xml:space="preserve"> 122.99</w:t>
      </w:r>
      <w:r>
        <w:rPr>
          <w:rFonts w:ascii="FangSong_GB2312" w:hAnsi="FangSong_GB2312" w:eastAsia="FangSong_GB2312" w:cs="FangSong_GB2312"/>
          <w:kern w:val="0"/>
          <w:sz w:val="32"/>
          <w:szCs w:val="32"/>
        </w:rPr>
        <w:t>万元，占政府采购支出总额的</w:t>
      </w:r>
      <w:r>
        <w:rPr>
          <w:rFonts w:hint="eastAsia" w:eastAsia="宋体"/>
          <w:kern w:val="0"/>
          <w:sz w:val="32"/>
          <w:szCs w:val="32"/>
          <w:u w:val="single"/>
          <w:lang w:val="en-US" w:eastAsia="zh-CN"/>
        </w:rPr>
        <w:t>98.87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；货物采购授予中小企业合同金额占货物支出金额的</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，工程采购授予中小企业合同金额占工程支出金额的</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，服务采购授予中小企业合同金额占服务支出金额的</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日，本部门（单位）共有车辆</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台（套）。</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年一般公共预算项目支出全面开展绩效自评，共涉及项目</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rPr>
        <w:t>个，资金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万元，占一般公共预算项目支出总额的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；政府性基金预算项目</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rPr>
        <w:t>个，共涉及资金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万元，占政府性基金预算项目支出总额的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color w:val="000AFF"/>
          <w:kern w:val="0"/>
          <w:sz w:val="32"/>
          <w:szCs w:val="32"/>
        </w:rPr>
        <w:t>。</w:t>
      </w: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（二）部门决算中项目绩效自评结果。</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呼伦贝尔市职工文体活动中心（呼伦贝尔市工人文化宫）</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rPr>
        <w:t>个一般公共预算项目，以及</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rPr>
        <w:t>个政府性基金项目，共</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rPr>
        <w:t>个项目的绩效自评结果。</w:t>
      </w: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pPr>
        <w:pStyle w:val="31"/>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呼伦贝尔市职工文体活动中心（呼伦贝尔市工人文化宫）共</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rPr>
        <w:t>个部门项目绩效评价结果。</w:t>
      </w:r>
    </w:p>
    <w:p>
      <w:pPr>
        <w:pStyle w:val="31"/>
        <w:widowControl/>
        <w:spacing w:before="240" w:after="240" w:line="560" w:lineRule="atLeast"/>
        <w:ind w:firstLine="640"/>
        <w:jc w:val="left"/>
        <w:rPr>
          <w:rFonts w:ascii="FangSong_GB2312" w:hAnsi="FangSong_GB2312" w:eastAsia="FangSong_GB2312" w:cs="FangSong_GB2312"/>
          <w:kern w:val="0"/>
          <w:sz w:val="32"/>
          <w:szCs w:val="32"/>
        </w:rPr>
      </w:pPr>
      <w:r>
        <w:rPr>
          <w:rFonts w:ascii="楷体" w:hAnsi="楷体" w:eastAsia="楷体" w:cs="楷体"/>
          <w:b/>
          <w:bCs/>
          <w:kern w:val="0"/>
          <w:sz w:val="32"/>
          <w:szCs w:val="32"/>
        </w:rPr>
        <w:t>（四）部门预算绩效管理制度和核心绩效指标标准体系建设情况。</w:t>
      </w:r>
    </w:p>
    <w:p>
      <w:pPr>
        <w:pStyle w:val="31"/>
        <w:keepNext w:val="0"/>
        <w:keepLines w:val="0"/>
        <w:pageBreakBefore w:val="0"/>
        <w:widowControl/>
        <w:kinsoku/>
        <w:wordWrap/>
        <w:overflowPunct/>
        <w:topLinePunct w:val="0"/>
        <w:autoSpaceDE/>
        <w:autoSpaceDN/>
        <w:bidi w:val="0"/>
        <w:adjustRightInd/>
        <w:snapToGrid/>
        <w:spacing w:before="240" w:after="240" w:line="560" w:lineRule="atLeast"/>
        <w:ind w:firstLine="641"/>
        <w:jc w:val="left"/>
        <w:textAlignment w:val="auto"/>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我</w:t>
      </w:r>
      <w:r>
        <w:rPr>
          <w:rFonts w:hint="eastAsia" w:ascii="FangSong_GB2312" w:hAnsi="FangSong_GB2312" w:eastAsia="FangSong_GB2312" w:cs="FangSong_GB2312"/>
          <w:kern w:val="0"/>
          <w:sz w:val="32"/>
          <w:szCs w:val="32"/>
          <w:lang w:val="en-US" w:eastAsia="zh-CN"/>
        </w:rPr>
        <w:t>部门</w:t>
      </w:r>
      <w:r>
        <w:rPr>
          <w:rFonts w:hint="eastAsia" w:ascii="FangSong_GB2312" w:hAnsi="FangSong_GB2312" w:eastAsia="FangSong_GB2312" w:cs="FangSong_GB2312"/>
          <w:kern w:val="0"/>
          <w:sz w:val="32"/>
          <w:szCs w:val="32"/>
        </w:rPr>
        <w:t>严格落实全面实施预算绩效管理相关要求，持续完善绩效管理制度，推进绩效指标体系建设。</w:t>
      </w:r>
    </w:p>
    <w:p>
      <w:pPr>
        <w:pStyle w:val="31"/>
        <w:keepNext w:val="0"/>
        <w:keepLines w:val="0"/>
        <w:pageBreakBefore w:val="0"/>
        <w:widowControl/>
        <w:kinsoku/>
        <w:wordWrap/>
        <w:overflowPunct/>
        <w:topLinePunct w:val="0"/>
        <w:autoSpaceDE/>
        <w:autoSpaceDN/>
        <w:bidi w:val="0"/>
        <w:adjustRightInd/>
        <w:snapToGrid/>
        <w:spacing w:before="240" w:after="240" w:line="560" w:lineRule="atLeast"/>
        <w:ind w:firstLine="641"/>
        <w:jc w:val="left"/>
        <w:textAlignment w:val="auto"/>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一是健全绩效管理制度体系。建立覆盖绩效目标编制、运行监控、绩效自评、评价结果应用、信息公开的全流程管理制度，明确各岗位责任，将绩效管理嵌入预算编制、执行、决算全过程。</w:t>
      </w:r>
    </w:p>
    <w:p>
      <w:pPr>
        <w:pStyle w:val="31"/>
        <w:keepNext w:val="0"/>
        <w:keepLines w:val="0"/>
        <w:pageBreakBefore w:val="0"/>
        <w:widowControl/>
        <w:kinsoku/>
        <w:wordWrap/>
        <w:overflowPunct/>
        <w:topLinePunct w:val="0"/>
        <w:autoSpaceDE/>
        <w:autoSpaceDN/>
        <w:bidi w:val="0"/>
        <w:adjustRightInd/>
        <w:snapToGrid/>
        <w:spacing w:before="240" w:after="240" w:line="560" w:lineRule="atLeast"/>
        <w:ind w:firstLine="641"/>
        <w:jc w:val="left"/>
        <w:textAlignment w:val="auto"/>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二是搭建核心绩效指标标准体系。按照可量化、可考核原则，构建部门整体支出+项目支出绩效指标框架，统一产出、效益、满意度三类指标。区分通用共性指标和业务个性指标，每年动态更新完善指标库，提升绩效目标编制质量。</w:t>
      </w:r>
    </w:p>
    <w:p>
      <w:pPr>
        <w:pStyle w:val="31"/>
        <w:keepNext w:val="0"/>
        <w:keepLines w:val="0"/>
        <w:pageBreakBefore w:val="0"/>
        <w:widowControl/>
        <w:kinsoku/>
        <w:wordWrap/>
        <w:overflowPunct/>
        <w:topLinePunct w:val="0"/>
        <w:autoSpaceDE/>
        <w:autoSpaceDN/>
        <w:bidi w:val="0"/>
        <w:adjustRightInd/>
        <w:snapToGrid/>
        <w:spacing w:before="240" w:after="240" w:line="560" w:lineRule="atLeast"/>
        <w:ind w:firstLine="641"/>
        <w:jc w:val="left"/>
        <w:textAlignment w:val="auto"/>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三是取得成效。通过制度与指标体系建设，干部绩效意识不断增强，财政资金使用效益持续提升，绩效评价结果作为下年度预算安排的重要依据。</w:t>
      </w:r>
    </w:p>
    <w:p>
      <w:pPr>
        <w:widowControl/>
        <w:spacing w:before="240" w:after="240"/>
        <w:jc w:val="left"/>
        <w:rPr>
          <w:rFonts w:ascii="Times New Roman" w:hAnsi="Times New Roman" w:eastAsia="Times New Roman" w:cs="Times New Roman"/>
          <w:kern w:val="0"/>
          <w:sz w:val="24"/>
        </w:rPr>
      </w:pPr>
    </w:p>
    <w:p>
      <w:pPr>
        <w:pStyle w:val="2"/>
      </w:pPr>
    </w:p>
    <w:p>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pPr>
        <w:widowControl/>
        <w:spacing w:before="240" w:after="240"/>
        <w:jc w:val="left"/>
        <w:rPr>
          <w:rFonts w:ascii="Times New Roman" w:hAnsi="Times New Roman" w:eastAsia="Times New Roman" w:cs="Times New Roman"/>
          <w:kern w:val="0"/>
          <w:sz w:val="24"/>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kern w:val="0"/>
          <w:sz w:val="36"/>
          <w:szCs w:val="36"/>
        </w:rPr>
      </w:pPr>
      <w:r>
        <w:rPr>
          <w:rFonts w:ascii="方正小标宋简体" w:hAnsi="方正小标宋简体" w:eastAsia="方正小标宋简体" w:cs="方正小标宋简体"/>
          <w:kern w:val="0"/>
          <w:sz w:val="36"/>
          <w:szCs w:val="36"/>
        </w:rPr>
        <w:t>第四部分  决算公开联系方式及信息反馈渠道</w:t>
      </w:r>
    </w:p>
    <w:p>
      <w:pPr>
        <w:widowControl/>
        <w:spacing w:before="240" w:after="240"/>
        <w:jc w:val="left"/>
        <w:rPr>
          <w:rFonts w:ascii="Times New Roman" w:hAnsi="Times New Roman" w:eastAsia="Times New Roman" w:cs="Times New Roman"/>
          <w:kern w:val="0"/>
          <w:sz w:val="24"/>
        </w:rPr>
      </w:pP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本部门（单位）决算公开信息反馈和联系方式：</w:t>
      </w:r>
    </w:p>
    <w:p>
      <w:pPr>
        <w:pStyle w:val="31"/>
        <w:widowControl/>
        <w:spacing w:before="240" w:after="240" w:line="560" w:lineRule="atLeast"/>
        <w:ind w:firstLine="640"/>
        <w:jc w:val="left"/>
        <w:rPr>
          <w:rFonts w:hint="default" w:ascii="Times New Roman" w:hAnsi="Times New Roman" w:eastAsia="FangSong_GB2312" w:cs="Times New Roman"/>
          <w:kern w:val="0"/>
          <w:sz w:val="24"/>
          <w:lang w:val="en-US" w:eastAsia="zh-CN"/>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苏欣</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0470-8320</w:t>
      </w:r>
      <w:r>
        <w:rPr>
          <w:rFonts w:hint="eastAsia" w:ascii="FangSong_GB2312" w:hAnsi="FangSong_GB2312" w:eastAsia="FangSong_GB2312" w:cs="FangSong_GB2312"/>
          <w:kern w:val="0"/>
          <w:sz w:val="32"/>
          <w:szCs w:val="32"/>
          <w:lang w:val="en-US" w:eastAsia="zh-CN"/>
        </w:rPr>
        <w:t>517</w:t>
      </w:r>
    </w:p>
    <w:p>
      <w:pPr>
        <w:widowControl/>
        <w:spacing w:before="240" w:after="240"/>
        <w:jc w:val="left"/>
        <w:rPr>
          <w:rFonts w:ascii="Times New Roman" w:hAnsi="Times New Roman" w:eastAsia="Times New Roman" w:cs="Times New Roman"/>
          <w:kern w:val="0"/>
          <w:sz w:val="24"/>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kern w:val="0"/>
          <w:sz w:val="36"/>
          <w:szCs w:val="36"/>
        </w:rPr>
      </w:pPr>
      <w:r>
        <w:rPr>
          <w:rFonts w:ascii="方正小标宋简体" w:hAnsi="方正小标宋简体" w:eastAsia="方正小标宋简体" w:cs="方正小标宋简体"/>
          <w:kern w:val="0"/>
          <w:sz w:val="36"/>
          <w:szCs w:val="36"/>
        </w:rPr>
        <w:t>第五部分  部门（单位）决算表</w:t>
      </w:r>
      <w:r>
        <w:rPr>
          <w:rFonts w:ascii="方正小标宋简体" w:hAnsi="方正小标宋简体" w:eastAsia="方正小标宋简体" w:cs="方正小标宋简体"/>
          <w:kern w:val="0"/>
          <w:sz w:val="36"/>
          <w:szCs w:val="36"/>
          <w:lang w:eastAsia="en-US"/>
        </w:rPr>
        <w:t> </w:t>
      </w:r>
    </w:p>
    <w:p>
      <w:pPr>
        <w:pStyle w:val="31"/>
        <w:widowControl/>
        <w:spacing w:before="240" w:after="240" w:line="560" w:lineRule="atLeast"/>
        <w:ind w:firstLine="640"/>
        <w:jc w:val="left"/>
      </w:pPr>
      <w:r>
        <w:rPr>
          <w:rFonts w:ascii="FangSong_GB2312" w:hAnsi="FangSong_GB2312" w:eastAsia="FangSong_GB2312" w:cs="FangSong_GB2312"/>
          <w:kern w:val="0"/>
          <w:sz w:val="32"/>
          <w:szCs w:val="32"/>
        </w:rPr>
        <w:t>见附件。</w:t>
      </w:r>
      <w:bookmarkEnd w:id="0"/>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_new_roman">
    <w:altName w:val="Segoe Print"/>
    <w:panose1 w:val="00000000000000000000"/>
    <w:charset w:val="00"/>
    <w:family w:val="auto"/>
    <w:pitch w:val="default"/>
    <w:sig w:usb0="00000000" w:usb1="00000000" w:usb2="00000000" w:usb3="00000000" w:csb0="00000000" w:csb1="00000000"/>
  </w:font>
  <w:font w:name="fang_zheng_xiao_biao_song_ti">
    <w:altName w:val="Segoe Print"/>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Lucida Sans">
    <w:panose1 w:val="020B0602030504020204"/>
    <w:charset w:val="00"/>
    <w:family w:val="auto"/>
    <w:pitch w:val="default"/>
    <w:sig w:usb0="00000003" w:usb1="00000000" w:usb2="00000000" w:usb3="00000000" w:csb0="20000001" w:csb1="00000000"/>
  </w:font>
  <w:font w:name="FangSong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zYTY5YWVkZWQ2MzdlOWZmMzI2YjllNmJhMTdlNzkifQ=="/>
  </w:docVars>
  <w:rsids>
    <w:rsidRoot w:val="00000000"/>
    <w:rsid w:val="0A2C0B41"/>
    <w:rsid w:val="0D4F7B36"/>
    <w:rsid w:val="1F44067C"/>
    <w:rsid w:val="42DE61B6"/>
    <w:rsid w:val="63EF1950"/>
    <w:rsid w:val="BD773FAA"/>
    <w:rsid w:val="EB32DE94"/>
    <w:rsid w:val="EFEBA6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30"/>
    <w:qFormat/>
    <w:uiPriority w:val="0"/>
    <w:pPr>
      <w:keepNext/>
      <w:keepLines/>
      <w:spacing w:before="260" w:after="260" w:line="416" w:lineRule="auto"/>
      <w:outlineLvl w:val="2"/>
    </w:pPr>
    <w:rPr>
      <w:b/>
      <w:bCs/>
      <w:sz w:val="32"/>
      <w:szCs w:val="32"/>
    </w:rPr>
  </w:style>
  <w:style w:type="paragraph" w:styleId="7">
    <w:name w:val="heading 4"/>
    <w:basedOn w:val="1"/>
    <w:next w:val="1"/>
    <w:link w:val="25"/>
    <w:qFormat/>
    <w:uiPriority w:val="0"/>
    <w:pPr>
      <w:keepNext/>
      <w:keepLines/>
      <w:spacing w:before="280" w:after="290" w:line="376" w:lineRule="auto"/>
      <w:outlineLvl w:val="3"/>
    </w:pPr>
    <w:rPr>
      <w:rFonts w:ascii="Cambria" w:hAnsi="Cambria"/>
      <w:b/>
      <w:bCs/>
      <w:sz w:val="28"/>
      <w:szCs w:val="28"/>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jc w:val="left"/>
    </w:pPr>
    <w:rPr>
      <w:rFonts w:ascii="宋体" w:hAnsi="宋体" w:eastAsia="宋体"/>
      <w:kern w:val="0"/>
      <w:sz w:val="24"/>
      <w:szCs w:val="24"/>
    </w:rPr>
  </w:style>
  <w:style w:type="paragraph" w:styleId="3">
    <w:name w:val="Body Text Indent"/>
    <w:basedOn w:val="1"/>
    <w:qFormat/>
    <w:uiPriority w:val="0"/>
    <w:pPr>
      <w:spacing w:after="120"/>
      <w:ind w:left="200" w:leftChars="200"/>
    </w:pPr>
  </w:style>
  <w:style w:type="paragraph" w:styleId="8">
    <w:name w:val="toc 7"/>
    <w:basedOn w:val="1"/>
    <w:next w:val="1"/>
    <w:qFormat/>
    <w:uiPriority w:val="0"/>
    <w:pPr>
      <w:ind w:left="1260"/>
      <w:jc w:val="left"/>
    </w:pPr>
    <w:rPr>
      <w:sz w:val="20"/>
      <w:szCs w:val="20"/>
    </w:rPr>
  </w:style>
  <w:style w:type="paragraph" w:styleId="9">
    <w:name w:val="Document Map"/>
    <w:basedOn w:val="1"/>
    <w:qFormat/>
    <w:uiPriority w:val="0"/>
    <w:pPr>
      <w:shd w:val="clear" w:color="auto" w:fill="000080"/>
    </w:pPr>
  </w:style>
  <w:style w:type="paragraph" w:styleId="10">
    <w:name w:val="toc 5"/>
    <w:basedOn w:val="1"/>
    <w:next w:val="1"/>
    <w:qFormat/>
    <w:uiPriority w:val="0"/>
    <w:pPr>
      <w:ind w:left="840"/>
      <w:jc w:val="left"/>
    </w:pPr>
    <w:rPr>
      <w:sz w:val="20"/>
      <w:szCs w:val="20"/>
    </w:rPr>
  </w:style>
  <w:style w:type="paragraph" w:styleId="11">
    <w:name w:val="toc 3"/>
    <w:basedOn w:val="1"/>
    <w:next w:val="1"/>
    <w:qFormat/>
    <w:uiPriority w:val="0"/>
    <w:pPr>
      <w:adjustRightInd w:val="0"/>
      <w:snapToGrid w:val="0"/>
      <w:spacing w:line="360" w:lineRule="auto"/>
      <w:ind w:firstLine="400" w:firstLineChars="400"/>
      <w:jc w:val="left"/>
    </w:pPr>
    <w:rPr>
      <w:sz w:val="24"/>
      <w:szCs w:val="20"/>
    </w:rPr>
  </w:style>
  <w:style w:type="paragraph" w:styleId="12">
    <w:name w:val="toc 8"/>
    <w:basedOn w:val="1"/>
    <w:next w:val="1"/>
    <w:qFormat/>
    <w:uiPriority w:val="0"/>
    <w:pPr>
      <w:ind w:left="1470"/>
      <w:jc w:val="left"/>
    </w:pPr>
    <w:rPr>
      <w:sz w:val="20"/>
      <w:szCs w:val="20"/>
    </w:rPr>
  </w:style>
  <w:style w:type="paragraph" w:styleId="13">
    <w:name w:val="footer"/>
    <w:basedOn w:val="1"/>
    <w:link w:val="28"/>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adjustRightInd w:val="0"/>
      <w:snapToGrid w:val="0"/>
      <w:spacing w:line="360" w:lineRule="auto"/>
      <w:jc w:val="left"/>
    </w:pPr>
    <w:rPr>
      <w:b/>
      <w:bCs/>
      <w:sz w:val="24"/>
      <w:szCs w:val="20"/>
    </w:rPr>
  </w:style>
  <w:style w:type="paragraph" w:styleId="16">
    <w:name w:val="toc 4"/>
    <w:basedOn w:val="1"/>
    <w:next w:val="1"/>
    <w:qFormat/>
    <w:uiPriority w:val="0"/>
    <w:pPr>
      <w:ind w:left="630"/>
      <w:jc w:val="left"/>
    </w:pPr>
    <w:rPr>
      <w:sz w:val="20"/>
      <w:szCs w:val="20"/>
    </w:rPr>
  </w:style>
  <w:style w:type="paragraph" w:styleId="17">
    <w:name w:val="toc 6"/>
    <w:basedOn w:val="1"/>
    <w:next w:val="1"/>
    <w:qFormat/>
    <w:uiPriority w:val="0"/>
    <w:pPr>
      <w:ind w:left="1050"/>
      <w:jc w:val="left"/>
    </w:pPr>
    <w:rPr>
      <w:sz w:val="20"/>
      <w:szCs w:val="20"/>
    </w:rPr>
  </w:style>
  <w:style w:type="paragraph" w:styleId="18">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9">
    <w:name w:val="toc 9"/>
    <w:basedOn w:val="1"/>
    <w:next w:val="1"/>
    <w:qFormat/>
    <w:uiPriority w:val="0"/>
    <w:pPr>
      <w:ind w:left="1680"/>
      <w:jc w:val="left"/>
    </w:pPr>
    <w:rPr>
      <w:sz w:val="20"/>
      <w:szCs w:val="20"/>
    </w:rPr>
  </w:style>
  <w:style w:type="paragraph" w:styleId="20">
    <w:name w:val="Normal (Web)"/>
    <w:basedOn w:val="1"/>
    <w:qFormat/>
    <w:uiPriority w:val="0"/>
    <w:pPr>
      <w:spacing w:before="100" w:beforeAutospacing="1" w:after="100" w:afterAutospacing="1"/>
      <w:jc w:val="left"/>
    </w:pPr>
    <w:rPr>
      <w:kern w:val="0"/>
      <w:sz w:val="24"/>
    </w:rPr>
  </w:style>
  <w:style w:type="character" w:styleId="23">
    <w:name w:val="page number"/>
    <w:basedOn w:val="22"/>
    <w:qFormat/>
    <w:uiPriority w:val="0"/>
  </w:style>
  <w:style w:type="character" w:styleId="24">
    <w:name w:val="Hyperlink"/>
    <w:basedOn w:val="22"/>
    <w:qFormat/>
    <w:uiPriority w:val="0"/>
    <w:rPr>
      <w:color w:val="0000FF"/>
      <w:u w:val="single"/>
    </w:rPr>
  </w:style>
  <w:style w:type="character" w:customStyle="1" w:styleId="25">
    <w:name w:val="标题 4 Char"/>
    <w:basedOn w:val="22"/>
    <w:link w:val="7"/>
    <w:qFormat/>
    <w:uiPriority w:val="0"/>
    <w:rPr>
      <w:rFonts w:ascii="Cambria" w:hAnsi="Cambria"/>
      <w:b/>
      <w:bCs/>
      <w:kern w:val="2"/>
      <w:sz w:val="28"/>
      <w:szCs w:val="28"/>
    </w:rPr>
  </w:style>
  <w:style w:type="paragraph" w:styleId="26">
    <w:name w:val="No Spacing"/>
    <w:link w:val="27"/>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7">
    <w:name w:val="无间隔 Char"/>
    <w:link w:val="26"/>
    <w:qFormat/>
    <w:locked/>
    <w:uiPriority w:val="0"/>
    <w:rPr>
      <w:rFonts w:eastAsia="仿宋_GB2312"/>
      <w:sz w:val="30"/>
      <w:szCs w:val="22"/>
      <w:lang w:bidi="ar-SA"/>
    </w:rPr>
  </w:style>
  <w:style w:type="character" w:customStyle="1" w:styleId="28">
    <w:name w:val="页脚 Char"/>
    <w:basedOn w:val="22"/>
    <w:link w:val="13"/>
    <w:qFormat/>
    <w:uiPriority w:val="0"/>
    <w:rPr>
      <w:kern w:val="2"/>
      <w:sz w:val="18"/>
      <w:szCs w:val="18"/>
    </w:rPr>
  </w:style>
  <w:style w:type="paragraph" w:styleId="29">
    <w:name w:val="List Paragraph"/>
    <w:basedOn w:val="1"/>
    <w:qFormat/>
    <w:uiPriority w:val="0"/>
    <w:pPr>
      <w:ind w:firstLine="420" w:firstLineChars="200"/>
    </w:pPr>
  </w:style>
  <w:style w:type="character" w:customStyle="1" w:styleId="30">
    <w:name w:val="标题 3 Char"/>
    <w:basedOn w:val="22"/>
    <w:link w:val="6"/>
    <w:qFormat/>
    <w:uiPriority w:val="0"/>
    <w:rPr>
      <w:b/>
      <w:bCs/>
      <w:kern w:val="2"/>
      <w:sz w:val="32"/>
      <w:szCs w:val="32"/>
    </w:rPr>
  </w:style>
  <w:style w:type="paragraph" w:customStyle="1" w:styleId="31">
    <w:name w:val="MsoNormal"/>
    <w:basedOn w:val="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21</Pages>
  <Words>6341</Words>
  <Characters>6862</Characters>
  <Lines>1</Lines>
  <Paragraphs>1</Paragraphs>
  <TotalTime>6</TotalTime>
  <ScaleCrop>false</ScaleCrop>
  <LinksUpToDate>false</LinksUpToDate>
  <CharactersWithSpaces>7054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2022-03-24T04:40:00Z</dcterms:created>
  <dc:creator>Administrator</dc:creator>
  <cp:lastModifiedBy>Zgh-123</cp:lastModifiedBy>
  <cp:lastPrinted>2021-04-16T16:45:00Z</cp:lastPrinted>
  <dcterms:modified xsi:type="dcterms:W3CDTF">2026-09-29T02:21:41Z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993060EE8BAFFD1C5765BA6A059B9353_43</vt:lpwstr>
  </property>
  <property fmtid="{D5CDD505-2E9C-101B-9397-08002B2CF9AE}" pid="3" name="KSOProductBuildVer">
    <vt:lpwstr>2052-11.1.0.13703</vt:lpwstr>
  </property>
  <property fmtid="{D5CDD505-2E9C-101B-9397-08002B2CF9AE}" pid="4" name="KSOTemplateDocerSaveRecord">
    <vt:lpwstr>eyJoZGlkIjoiN2YzNjBkOTgyNWQ1YTMxYzM3MzMwNWFiODNmOWIzYWMiLCJ1c2VySWQiOiI4MDUyMTE2MjkifQ==</vt:lpwstr>
  </property>
</Properties>
</file>